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6CF" w:rsidRPr="003B76CF" w:rsidRDefault="0078738C" w:rsidP="003B76CF">
      <w:pPr>
        <w:keepNext/>
        <w:tabs>
          <w:tab w:val="left" w:pos="3600"/>
        </w:tabs>
        <w:spacing w:after="0"/>
        <w:jc w:val="center"/>
        <w:outlineLvl w:val="4"/>
        <w:rPr>
          <w:rFonts w:ascii="Arial" w:eastAsia="Times New Roman" w:hAnsi="Arial" w:cs="Arial"/>
          <w:b/>
          <w:lang w:eastAsia="pt-BR"/>
        </w:rPr>
      </w:pPr>
      <w:bookmarkStart w:id="0" w:name="_GoBack"/>
      <w:bookmarkEnd w:id="0"/>
      <w:r>
        <w:rPr>
          <w:rFonts w:ascii="Arial" w:eastAsia="Times New Roman" w:hAnsi="Arial" w:cs="Arial"/>
          <w:b/>
          <w:lang w:eastAsia="pt-BR"/>
        </w:rPr>
        <w:t>ANEXO 7</w:t>
      </w:r>
    </w:p>
    <w:p w:rsidR="003B76CF" w:rsidRPr="003B76CF" w:rsidRDefault="003B76CF" w:rsidP="003B76CF">
      <w:pPr>
        <w:spacing w:after="0"/>
        <w:jc w:val="both"/>
        <w:rPr>
          <w:rFonts w:ascii="Arial" w:eastAsia="Times New Roman" w:hAnsi="Arial" w:cs="Arial"/>
          <w:vanish/>
          <w:sz w:val="20"/>
          <w:lang w:eastAsia="pt-BR"/>
        </w:rPr>
      </w:pPr>
    </w:p>
    <w:p w:rsidR="003B76CF" w:rsidRPr="003B76CF" w:rsidRDefault="003B76CF" w:rsidP="003B76CF">
      <w:pPr>
        <w:keepNext/>
        <w:spacing w:after="0"/>
        <w:jc w:val="both"/>
        <w:outlineLvl w:val="4"/>
        <w:rPr>
          <w:rFonts w:ascii="Arial" w:eastAsia="Times New Roman" w:hAnsi="Arial" w:cs="Arial"/>
          <w:b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Times New Roman" w:hAnsi="Arial" w:cs="Arial"/>
          <w:u w:val="single"/>
          <w:lang w:eastAsia="pt-BR"/>
        </w:rPr>
      </w:pPr>
      <w:r w:rsidRPr="003B76CF">
        <w:rPr>
          <w:rFonts w:ascii="Arial" w:eastAsia="Times New Roman" w:hAnsi="Arial" w:cs="Arial"/>
          <w:u w:val="single"/>
          <w:lang w:eastAsia="pt-BR"/>
        </w:rPr>
        <w:t>CONVÊNIO ICMS N. 026/2003</w:t>
      </w:r>
    </w:p>
    <w:p w:rsidR="003B76CF" w:rsidRPr="003B76CF" w:rsidRDefault="003B76CF" w:rsidP="003B76CF">
      <w:pPr>
        <w:spacing w:after="0"/>
        <w:jc w:val="both"/>
        <w:rPr>
          <w:rFonts w:ascii="Arial" w:eastAsia="Times New Roman" w:hAnsi="Arial" w:cs="Arial"/>
          <w:sz w:val="20"/>
          <w:u w:val="single"/>
          <w:lang w:eastAsia="pt-BR"/>
        </w:rPr>
      </w:pP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Publicado no DOU de 09.04.2003. </w:t>
      </w: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Ratificação Nacional DOU de 28.04.2003, pelo </w:t>
      </w:r>
      <w:hyperlink r:id="rId9" w:history="1"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Ato Declaratório 05/2003</w:t>
        </w:r>
      </w:hyperlink>
      <w:r w:rsidRPr="003B76CF">
        <w:rPr>
          <w:rFonts w:ascii="Arial" w:eastAsia="Arial Unicode MS" w:hAnsi="Arial" w:cs="Arial"/>
          <w:sz w:val="20"/>
          <w:lang w:eastAsia="pt-BR"/>
        </w:rPr>
        <w:t xml:space="preserve">. </w:t>
      </w: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Exclusão de AM e DF pelo </w:t>
      </w:r>
      <w:hyperlink r:id="rId10" w:history="1">
        <w:proofErr w:type="spellStart"/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Conv</w:t>
        </w:r>
        <w:proofErr w:type="spellEnd"/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. ICMS 61/2004</w:t>
        </w:r>
      </w:hyperlink>
      <w:r w:rsidRPr="003B76CF">
        <w:rPr>
          <w:rFonts w:ascii="Arial" w:eastAsia="Arial Unicode MS" w:hAnsi="Arial" w:cs="Arial"/>
          <w:sz w:val="20"/>
          <w:lang w:eastAsia="pt-BR"/>
        </w:rPr>
        <w:t xml:space="preserve">, efeitos a partir de 13.07.2004. </w:t>
      </w: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Vide </w:t>
      </w:r>
      <w:hyperlink r:id="rId11" w:history="1"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Portaria ST n.º 22/2003</w:t>
        </w:r>
      </w:hyperlink>
      <w:r w:rsidRPr="003B76CF">
        <w:rPr>
          <w:rFonts w:ascii="Arial" w:eastAsia="Arial Unicode MS" w:hAnsi="Arial" w:cs="Arial"/>
          <w:b/>
          <w:bCs/>
          <w:sz w:val="20"/>
          <w:lang w:eastAsia="pt-BR"/>
        </w:rPr>
        <w:t>.</w:t>
      </w:r>
      <w:r w:rsidRPr="003B76CF">
        <w:rPr>
          <w:rFonts w:ascii="Arial" w:eastAsia="Arial Unicode MS" w:hAnsi="Arial" w:cs="Arial"/>
          <w:sz w:val="20"/>
          <w:lang w:eastAsia="pt-BR"/>
        </w:rPr>
        <w:t xml:space="preserve"> </w:t>
      </w:r>
    </w:p>
    <w:p w:rsidR="003B76CF" w:rsidRPr="003B76CF" w:rsidRDefault="003B76CF" w:rsidP="003B76CF">
      <w:pPr>
        <w:numPr>
          <w:ilvl w:val="0"/>
          <w:numId w:val="2"/>
        </w:numPr>
        <w:spacing w:after="0" w:line="240" w:lineRule="auto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 xml:space="preserve">Disciplinado pela </w:t>
      </w:r>
      <w:hyperlink r:id="rId12" w:history="1">
        <w:r w:rsidRPr="003B76CF">
          <w:rPr>
            <w:rFonts w:ascii="Arial" w:eastAsia="Arial Unicode MS" w:hAnsi="Arial" w:cs="Arial"/>
            <w:color w:val="0000FF"/>
            <w:sz w:val="20"/>
            <w:u w:val="single"/>
            <w:lang w:eastAsia="pt-BR"/>
          </w:rPr>
          <w:t>Resolução SER n.º 47/2003</w:t>
        </w:r>
      </w:hyperlink>
      <w:r w:rsidRPr="003B76CF">
        <w:rPr>
          <w:rFonts w:ascii="Arial" w:eastAsia="Arial Unicode MS" w:hAnsi="Arial" w:cs="Arial"/>
          <w:b/>
          <w:bCs/>
          <w:sz w:val="20"/>
          <w:lang w:eastAsia="pt-BR"/>
        </w:rPr>
        <w:t>.</w:t>
      </w:r>
      <w:r w:rsidRPr="003B76CF">
        <w:rPr>
          <w:rFonts w:ascii="Arial" w:eastAsia="Arial Unicode MS" w:hAnsi="Arial" w:cs="Arial"/>
          <w:sz w:val="20"/>
          <w:lang w:eastAsia="pt-BR"/>
        </w:rPr>
        <w:t xml:space="preserve"> 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20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20"/>
          <w:lang w:eastAsia="pt-BR"/>
        </w:rPr>
      </w:pPr>
      <w:r w:rsidRPr="003B76CF">
        <w:rPr>
          <w:rFonts w:ascii="Arial" w:eastAsia="Arial Unicode MS" w:hAnsi="Arial" w:cs="Arial"/>
          <w:sz w:val="20"/>
          <w:lang w:eastAsia="pt-BR"/>
        </w:rPr>
        <w:t>Autoriza os Estados e o Distrito Federal a conceder isenção de ICMS nas operações ou prestações internas destinadas a órgãos da Administração Pública Estadual Direta e suas Fundações e autarquias.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 xml:space="preserve">O Conselho Nacional de Política Fazendária – </w:t>
      </w:r>
      <w:r w:rsidRPr="003B76CF">
        <w:rPr>
          <w:rFonts w:ascii="Arial" w:eastAsia="Arial Unicode MS" w:hAnsi="Arial" w:cs="Arial"/>
          <w:b/>
          <w:lang w:eastAsia="pt-BR"/>
        </w:rPr>
        <w:t>CONFAZ</w:t>
      </w:r>
      <w:r w:rsidRPr="003B76CF">
        <w:rPr>
          <w:rFonts w:ascii="Arial" w:eastAsia="Arial Unicode MS" w:hAnsi="Arial" w:cs="Arial"/>
          <w:lang w:eastAsia="pt-BR"/>
        </w:rPr>
        <w:t xml:space="preserve">, na sua 109ª reunião ordinária, realizada em Salvador, BA, no dia 4 de abril de 2003, tendo em vista o disposto na </w:t>
      </w:r>
      <w:hyperlink r:id="rId13" w:history="1">
        <w:r w:rsidRPr="003B76CF">
          <w:rPr>
            <w:rFonts w:ascii="Arial" w:eastAsia="Arial Unicode MS" w:hAnsi="Arial" w:cs="Arial"/>
            <w:color w:val="0000FF"/>
            <w:u w:val="single"/>
            <w:lang w:eastAsia="pt-BR"/>
          </w:rPr>
          <w:t>Lei Complementar nº 24</w:t>
        </w:r>
      </w:hyperlink>
      <w:r w:rsidRPr="003B76CF">
        <w:rPr>
          <w:rFonts w:ascii="Arial" w:eastAsia="Arial Unicode MS" w:hAnsi="Arial" w:cs="Arial"/>
          <w:lang w:eastAsia="pt-BR"/>
        </w:rPr>
        <w:t>, de 7 de janeiro de 1975, resolve celebrar o seguinte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C O N V Ê N I O: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Cláusula primeira - Ficam os Estados e o Distrito Federal autorizados a conceder isenção de ICMS nas operações ou prestações internas, relativas a aquisição de bens, mercadorias ou serviços por órgãos da Administração Pública Estadual Direta e suas Fundações e Autarquias.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§ 1º A isenção de que trata o "caput" fica condicionada: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I – ao desconto no preço, do valor equivalente ao imposto dispensado;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II – à indicação, no respectivo documento fiscal, do valor do desconto;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III – à comprovação de inexistência de similar produzido no país, na hipótese de qualquer operação com mercadorias importadas do exterior.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§ 2º - A inexistência de similar produzido no país será atestada por órgão federal competente ou por entidade representativa do setor produtivo da mercadoria ou do bem com abrangência em todo o território nacional.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20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 xml:space="preserve">§ 3º - Ficam os Estados e o Distrito Federal autorizados a dispensar o estorno do crédito fiscal a que se refere o artigo 21 da </w:t>
      </w:r>
      <w:hyperlink r:id="rId14" w:history="1">
        <w:r w:rsidRPr="003B76CF">
          <w:rPr>
            <w:rFonts w:ascii="Arial" w:eastAsia="Arial Unicode MS" w:hAnsi="Arial" w:cs="Arial"/>
            <w:color w:val="0000FF"/>
            <w:u w:val="single"/>
            <w:lang w:eastAsia="pt-BR"/>
          </w:rPr>
          <w:t>Lei Complementar nº 87</w:t>
        </w:r>
      </w:hyperlink>
      <w:r w:rsidRPr="003B76CF">
        <w:rPr>
          <w:rFonts w:ascii="Arial" w:eastAsia="Arial Unicode MS" w:hAnsi="Arial" w:cs="Arial"/>
          <w:lang w:eastAsia="pt-BR"/>
        </w:rPr>
        <w:t>, de 13 setembro de 1996.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b/>
          <w:bCs/>
          <w:sz w:val="18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 xml:space="preserve">§ 4º - No caso de mercadorias ou serviços sujeitos ao regime de substituição tributária, os Estados podem autorizar a transferência do valor do ICMS retido por antecipação, a crédito do contribuinte substituído que realizou operação ou prestação </w:t>
      </w:r>
      <w:proofErr w:type="spellStart"/>
      <w:r w:rsidRPr="003B76CF">
        <w:rPr>
          <w:rFonts w:ascii="Arial" w:eastAsia="Arial Unicode MS" w:hAnsi="Arial" w:cs="Arial"/>
          <w:lang w:eastAsia="pt-BR"/>
        </w:rPr>
        <w:t>subseqüente</w:t>
      </w:r>
      <w:proofErr w:type="spellEnd"/>
      <w:r w:rsidRPr="003B76CF">
        <w:rPr>
          <w:rFonts w:ascii="Arial" w:eastAsia="Arial Unicode MS" w:hAnsi="Arial" w:cs="Arial"/>
          <w:lang w:eastAsia="pt-BR"/>
        </w:rPr>
        <w:t xml:space="preserve"> isenta, conforme dispuser a legislação estadual.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Cláusula segunda - O disposto no inciso III da cláusula anterior não se aplica ao Estado do Paraná relativamente ao desembaraço aduaneiro de mercadoria importada do exterior efetuado até 30 de junho de 2003.</w:t>
      </w:r>
    </w:p>
    <w:p w:rsidR="003B76CF" w:rsidRPr="003B76CF" w:rsidRDefault="003B76CF" w:rsidP="003B76CF">
      <w:pPr>
        <w:spacing w:after="0"/>
        <w:jc w:val="both"/>
        <w:rPr>
          <w:rFonts w:ascii="Arial" w:eastAsia="Arial Unicode MS" w:hAnsi="Arial" w:cs="Arial"/>
          <w:sz w:val="18"/>
          <w:lang w:eastAsia="pt-BR"/>
        </w:rPr>
      </w:pPr>
    </w:p>
    <w:p w:rsidR="003B76CF" w:rsidRPr="003B76CF" w:rsidRDefault="003B76CF" w:rsidP="003B76CF">
      <w:pPr>
        <w:widowControl w:val="0"/>
        <w:spacing w:after="0"/>
        <w:jc w:val="both"/>
        <w:rPr>
          <w:rFonts w:ascii="Arial" w:eastAsia="Arial Unicode MS" w:hAnsi="Arial" w:cs="Arial"/>
          <w:lang w:eastAsia="pt-BR"/>
        </w:rPr>
      </w:pPr>
      <w:r w:rsidRPr="003B76CF">
        <w:rPr>
          <w:rFonts w:ascii="Arial" w:eastAsia="Arial Unicode MS" w:hAnsi="Arial" w:cs="Arial"/>
          <w:lang w:eastAsia="pt-BR"/>
        </w:rPr>
        <w:t>Cláusula terceira - Este Convênio entra em vigor na data da publicação de sua ratificação nacional.</w:t>
      </w:r>
    </w:p>
    <w:p w:rsidR="003B76CF" w:rsidRDefault="003B76CF" w:rsidP="003B76CF">
      <w:pPr>
        <w:widowControl w:val="0"/>
        <w:spacing w:after="0"/>
        <w:jc w:val="both"/>
        <w:rPr>
          <w:rFonts w:ascii="Arial" w:eastAsia="Arial Unicode MS" w:hAnsi="Arial" w:cs="Arial"/>
          <w:lang w:eastAsia="pt-BR"/>
        </w:rPr>
      </w:pPr>
    </w:p>
    <w:p w:rsidR="008E1D72" w:rsidRPr="003B76CF" w:rsidRDefault="003B76CF" w:rsidP="003B76CF">
      <w:pPr>
        <w:widowControl w:val="0"/>
        <w:spacing w:after="0"/>
        <w:jc w:val="both"/>
      </w:pPr>
      <w:r w:rsidRPr="003B76CF">
        <w:rPr>
          <w:rFonts w:ascii="Arial" w:eastAsia="Arial Unicode MS" w:hAnsi="Arial" w:cs="Arial"/>
          <w:lang w:eastAsia="pt-BR"/>
        </w:rPr>
        <w:t>Salvador, BA, 4 de abril de 2003</w:t>
      </w:r>
    </w:p>
    <w:sectPr w:rsidR="008E1D72" w:rsidRPr="003B76CF" w:rsidSect="001F3C1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A99" w:rsidRDefault="003B2A99" w:rsidP="004E7AFB">
      <w:pPr>
        <w:spacing w:after="0" w:line="240" w:lineRule="auto"/>
      </w:pPr>
      <w:r>
        <w:separator/>
      </w:r>
    </w:p>
  </w:endnote>
  <w:endnote w:type="continuationSeparator" w:id="0">
    <w:p w:rsidR="003B2A99" w:rsidRDefault="003B2A99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D69" w:rsidRDefault="00B25D69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D69" w:rsidRDefault="00B25D69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D69" w:rsidRDefault="00B25D6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A99" w:rsidRDefault="003B2A99" w:rsidP="004E7AFB">
      <w:pPr>
        <w:spacing w:after="0" w:line="240" w:lineRule="auto"/>
      </w:pPr>
      <w:r>
        <w:separator/>
      </w:r>
    </w:p>
  </w:footnote>
  <w:footnote w:type="continuationSeparator" w:id="0">
    <w:p w:rsidR="003B2A99" w:rsidRDefault="003B2A99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D69" w:rsidRDefault="00B25D69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AFB" w:rsidRDefault="003E735C" w:rsidP="004E7AFB">
    <w:pPr>
      <w:pStyle w:val="Cabealho"/>
      <w:jc w:val="center"/>
    </w:pPr>
    <w:r>
      <w:rPr>
        <w:rFonts w:ascii="Times New Roman" w:eastAsia="Times New Roman" w:hAnsi="Times New Roman" w:cs="Times New Roman"/>
        <w:noProof/>
        <w:sz w:val="24"/>
        <w:szCs w:val="20"/>
        <w:lang w:eastAsia="pt-BR"/>
      </w:rPr>
      <w:drawing>
        <wp:anchor distT="0" distB="0" distL="114300" distR="114300" simplePos="0" relativeHeight="251658240" behindDoc="0" locked="0" layoutInCell="1" allowOverlap="1" wp14:anchorId="3200B6F9" wp14:editId="60782C59">
          <wp:simplePos x="0" y="0"/>
          <wp:positionH relativeFrom="column">
            <wp:posOffset>3019425</wp:posOffset>
          </wp:positionH>
          <wp:positionV relativeFrom="paragraph">
            <wp:posOffset>-134620</wp:posOffset>
          </wp:positionV>
          <wp:extent cx="44767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3E735C" w:rsidRDefault="003E735C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D69" w:rsidRDefault="00B25D6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1F3C18"/>
    <w:rsid w:val="00270579"/>
    <w:rsid w:val="003542A7"/>
    <w:rsid w:val="003B2A99"/>
    <w:rsid w:val="003B76CF"/>
    <w:rsid w:val="003E735C"/>
    <w:rsid w:val="00463F10"/>
    <w:rsid w:val="004A43DB"/>
    <w:rsid w:val="004E7AFB"/>
    <w:rsid w:val="0078738C"/>
    <w:rsid w:val="008E077D"/>
    <w:rsid w:val="008E1D72"/>
    <w:rsid w:val="00B25D69"/>
    <w:rsid w:val="00CC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ef.rj.gov.br/legislacao/tributaria/basica/lei_comp_federal_24_75.shtm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receita.rj.gov.br/legislacao/tributaria/resolucao/2003/047.s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eceita.rj.gov.br/legislacao/tributaria/portarias/set/2003/022.shtm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sef.rj.gov.br/legislacao/tributaria//convenios_ajustes_protocolos/confaz/convenios/2004/icms04061.shtml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http://www.sef.rj.gov.br/legislacao/tributaria/convenios_ajustes_protocolos/confaz/atos_declaratorios/2003/ato%20declaratorio%2005_03.shtml" TargetMode="External"/><Relationship Id="rId14" Type="http://schemas.openxmlformats.org/officeDocument/2006/relationships/hyperlink" Target="http://www.sef.rj.gov.br/legislacao/tributaria/basica/lei_comp_federal_87_96.shtml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951CB-669F-4247-9AC0-32133130E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482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Alan Soares da Silva</cp:lastModifiedBy>
  <cp:revision>2</cp:revision>
  <dcterms:created xsi:type="dcterms:W3CDTF">2021-04-12T15:33:00Z</dcterms:created>
  <dcterms:modified xsi:type="dcterms:W3CDTF">2021-04-12T15:33:00Z</dcterms:modified>
</cp:coreProperties>
</file>